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DD11" w14:textId="77777777" w:rsidR="00C869F3" w:rsidRDefault="00C869F3" w:rsidP="00C869F3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A4112DC" wp14:editId="6D7D4A1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333FAA" w14:paraId="322EF0DF" w14:textId="77777777" w:rsidTr="001D14A7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10F9A427" w14:textId="77777777" w:rsidR="00333FAA" w:rsidRPr="00B805DB" w:rsidRDefault="005811F8" w:rsidP="00F06E4E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</w:t>
            </w:r>
            <w:r w:rsidR="00333FAA" w:rsidRPr="00C869F3">
              <w:t>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41B30E0" w14:textId="77777777" w:rsidR="00333FAA" w:rsidRPr="005E3A10" w:rsidRDefault="005811F8" w:rsidP="00F06E4E">
            <w:pPr>
              <w:pStyle w:val="Heading1"/>
              <w:outlineLvl w:val="0"/>
              <w:rPr>
                <w:szCs w:val="24"/>
              </w:rPr>
            </w:pPr>
            <w:r w:rsidRPr="005E3A10">
              <w:t>Cabinet</w:t>
            </w:r>
          </w:p>
        </w:tc>
      </w:tr>
      <w:tr w:rsidR="00333FAA" w14:paraId="67D60646" w14:textId="77777777" w:rsidTr="001D14A7">
        <w:tc>
          <w:tcPr>
            <w:tcW w:w="3397" w:type="dxa"/>
            <w:tcBorders>
              <w:top w:val="single" w:sz="18" w:space="0" w:color="auto"/>
            </w:tcBorders>
          </w:tcPr>
          <w:p w14:paraId="4DDB5947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C13A5F">
              <w:rPr>
                <w:rFonts w:ascii="Arial Black" w:hAnsi="Arial Black"/>
              </w:rPr>
              <w:t>:</w:t>
            </w: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72FCD075" w14:textId="7ED8D820" w:rsidR="00333FAA" w:rsidRPr="005E3A10" w:rsidRDefault="002B00CA" w:rsidP="00A53B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 May 2023</w:t>
            </w:r>
          </w:p>
        </w:tc>
      </w:tr>
      <w:tr w:rsidR="00333FAA" w14:paraId="3CC97725" w14:textId="77777777" w:rsidTr="001D14A7">
        <w:tc>
          <w:tcPr>
            <w:tcW w:w="3397" w:type="dxa"/>
          </w:tcPr>
          <w:p w14:paraId="18BB8951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C13A5F">
              <w:rPr>
                <w:rFonts w:ascii="Arial Black" w:hAnsi="Arial Black" w:cs="Arial"/>
              </w:rPr>
              <w:t>Subject:</w:t>
            </w:r>
          </w:p>
        </w:tc>
        <w:tc>
          <w:tcPr>
            <w:tcW w:w="4912" w:type="dxa"/>
          </w:tcPr>
          <w:p w14:paraId="546D5458" w14:textId="77777777" w:rsidR="00DC15D2" w:rsidRDefault="00DC15D2" w:rsidP="00DC15D2">
            <w:pPr>
              <w:rPr>
                <w:rFonts w:cs="Arial"/>
                <w:szCs w:val="24"/>
              </w:rPr>
            </w:pPr>
            <w:r w:rsidRPr="0007162F">
              <w:rPr>
                <w:rFonts w:cs="Arial"/>
                <w:szCs w:val="24"/>
              </w:rPr>
              <w:t>Cabinet Advisory Panels, Consultative Forums and Appointment of Chair</w:t>
            </w:r>
            <w:r>
              <w:rPr>
                <w:rFonts w:cs="Arial"/>
                <w:szCs w:val="24"/>
              </w:rPr>
              <w:t>s</w:t>
            </w:r>
          </w:p>
          <w:p w14:paraId="6D8FB2C1" w14:textId="14E5F178" w:rsidR="00333FAA" w:rsidRPr="005E3A10" w:rsidRDefault="00333FAA" w:rsidP="00A53B04">
            <w:pPr>
              <w:rPr>
                <w:rFonts w:cs="Arial"/>
                <w:szCs w:val="24"/>
              </w:rPr>
            </w:pPr>
          </w:p>
        </w:tc>
      </w:tr>
      <w:tr w:rsidR="00333FAA" w14:paraId="32449166" w14:textId="77777777" w:rsidTr="001D14A7">
        <w:tc>
          <w:tcPr>
            <w:tcW w:w="3397" w:type="dxa"/>
          </w:tcPr>
          <w:p w14:paraId="17ECA8FA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4912" w:type="dxa"/>
          </w:tcPr>
          <w:p w14:paraId="4AE49827" w14:textId="51897B28" w:rsidR="001C7E35" w:rsidRPr="005E3A10" w:rsidRDefault="00261DAC" w:rsidP="001C7E35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3EADF2B3" w14:textId="77777777" w:rsidR="00333FAA" w:rsidRPr="005E3A10" w:rsidRDefault="00333FAA" w:rsidP="00A53B04">
            <w:pPr>
              <w:rPr>
                <w:rFonts w:cs="Arial"/>
                <w:szCs w:val="24"/>
              </w:rPr>
            </w:pPr>
          </w:p>
        </w:tc>
      </w:tr>
      <w:tr w:rsidR="001C7E35" w14:paraId="79E96200" w14:textId="77777777" w:rsidTr="001D14A7">
        <w:tc>
          <w:tcPr>
            <w:tcW w:w="3397" w:type="dxa"/>
          </w:tcPr>
          <w:p w14:paraId="0B8ABDC4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Responsible Officer:</w:t>
            </w:r>
          </w:p>
        </w:tc>
        <w:tc>
          <w:tcPr>
            <w:tcW w:w="4912" w:type="dxa"/>
          </w:tcPr>
          <w:p w14:paraId="62237D4D" w14:textId="0107885A" w:rsidR="001C7E35" w:rsidRDefault="002B00CA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Farmer</w:t>
            </w:r>
            <w:r w:rsidR="00DC15D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</w:t>
            </w:r>
            <w:r w:rsidR="00DC15D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Interim </w:t>
            </w:r>
            <w:r w:rsidR="00261DAC">
              <w:rPr>
                <w:rFonts w:cs="Arial"/>
                <w:sz w:val="24"/>
                <w:szCs w:val="24"/>
              </w:rPr>
              <w:t>Director of Legal and Governance Services</w:t>
            </w:r>
            <w:r w:rsidR="00261DAC" w:rsidRPr="005E3A10">
              <w:rPr>
                <w:rFonts w:cs="Arial"/>
                <w:sz w:val="24"/>
                <w:szCs w:val="24"/>
              </w:rPr>
              <w:t xml:space="preserve"> </w:t>
            </w:r>
          </w:p>
          <w:p w14:paraId="3798BF23" w14:textId="1EDB67A2" w:rsidR="00261DAC" w:rsidRPr="005E3A10" w:rsidRDefault="00261DAC" w:rsidP="00D835CF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1C7E35" w14:paraId="3B6FD8B1" w14:textId="77777777" w:rsidTr="001D14A7">
        <w:tc>
          <w:tcPr>
            <w:tcW w:w="3397" w:type="dxa"/>
          </w:tcPr>
          <w:p w14:paraId="0961945D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Portfolio Holder:</w:t>
            </w:r>
          </w:p>
        </w:tc>
        <w:tc>
          <w:tcPr>
            <w:tcW w:w="4912" w:type="dxa"/>
          </w:tcPr>
          <w:p w14:paraId="39A9A01A" w14:textId="0C529F30" w:rsidR="001C7E35" w:rsidRPr="005E3A10" w:rsidRDefault="00261DAC" w:rsidP="00D835C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3A29EA">
              <w:rPr>
                <w:rFonts w:cs="Arial"/>
                <w:sz w:val="24"/>
                <w:szCs w:val="24"/>
              </w:rPr>
              <w:t>Paul Osborn</w:t>
            </w:r>
            <w:r w:rsidR="00DC15D2">
              <w:rPr>
                <w:rFonts w:cs="Arial"/>
                <w:sz w:val="24"/>
                <w:szCs w:val="24"/>
              </w:rPr>
              <w:t xml:space="preserve"> - </w:t>
            </w:r>
            <w:r>
              <w:rPr>
                <w:rFonts w:cs="Arial"/>
                <w:sz w:val="24"/>
                <w:szCs w:val="24"/>
              </w:rPr>
              <w:t xml:space="preserve">Leader of the Council and Portfolio Holder for </w:t>
            </w:r>
            <w:r w:rsidRPr="00261DAC">
              <w:rPr>
                <w:rFonts w:cs="Arial"/>
                <w:sz w:val="24"/>
                <w:szCs w:val="24"/>
              </w:rPr>
              <w:t>Strategy</w:t>
            </w:r>
          </w:p>
        </w:tc>
      </w:tr>
      <w:tr w:rsidR="001C7E35" w14:paraId="3CF618C8" w14:textId="77777777" w:rsidTr="001D14A7">
        <w:tc>
          <w:tcPr>
            <w:tcW w:w="3397" w:type="dxa"/>
          </w:tcPr>
          <w:p w14:paraId="05842FE0" w14:textId="77777777" w:rsidR="00261DAC" w:rsidRDefault="00261DAC" w:rsidP="00C869F3">
            <w:pPr>
              <w:pStyle w:val="Infotext"/>
              <w:spacing w:after="240"/>
              <w:rPr>
                <w:rFonts w:ascii="Arial Black" w:hAnsi="Arial Black"/>
              </w:rPr>
            </w:pPr>
          </w:p>
          <w:p w14:paraId="4CD8D092" w14:textId="214F97ED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Exempt:</w:t>
            </w:r>
          </w:p>
        </w:tc>
        <w:tc>
          <w:tcPr>
            <w:tcW w:w="4912" w:type="dxa"/>
          </w:tcPr>
          <w:p w14:paraId="324789EF" w14:textId="77777777" w:rsidR="00261DAC" w:rsidRDefault="00261DAC" w:rsidP="00D835CF">
            <w:pPr>
              <w:pStyle w:val="Infotext"/>
              <w:rPr>
                <w:rFonts w:cs="Arial"/>
                <w:sz w:val="24"/>
                <w:szCs w:val="24"/>
              </w:rPr>
            </w:pPr>
          </w:p>
          <w:p w14:paraId="5476648A" w14:textId="77777777" w:rsidR="00261DAC" w:rsidRDefault="00261DAC" w:rsidP="00D835CF">
            <w:pPr>
              <w:pStyle w:val="Infotext"/>
              <w:rPr>
                <w:rFonts w:cs="Arial"/>
                <w:sz w:val="24"/>
                <w:szCs w:val="24"/>
              </w:rPr>
            </w:pPr>
          </w:p>
          <w:p w14:paraId="47D5EFD3" w14:textId="3B2D5082" w:rsidR="001C7E35" w:rsidRPr="005E3A10" w:rsidRDefault="00261DAC" w:rsidP="00D835C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755E47D1" w14:textId="77777777" w:rsidR="001C7E35" w:rsidRPr="005E3A10" w:rsidRDefault="001C7E35" w:rsidP="00D835C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C7E35" w14:paraId="577CD75A" w14:textId="77777777" w:rsidTr="001D14A7">
        <w:tc>
          <w:tcPr>
            <w:tcW w:w="3397" w:type="dxa"/>
          </w:tcPr>
          <w:p w14:paraId="4821943C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Decision subject to Call-in:</w:t>
            </w:r>
          </w:p>
        </w:tc>
        <w:tc>
          <w:tcPr>
            <w:tcW w:w="4912" w:type="dxa"/>
          </w:tcPr>
          <w:p w14:paraId="3A75E271" w14:textId="5CFBEFC0" w:rsidR="00714BEE" w:rsidRPr="005E3A10" w:rsidRDefault="001C7E35" w:rsidP="00261DAC">
            <w:pPr>
              <w:pStyle w:val="Infotext"/>
              <w:rPr>
                <w:rFonts w:cs="Arial"/>
                <w:szCs w:val="24"/>
              </w:rPr>
            </w:pPr>
            <w:r w:rsidRPr="005E3A10">
              <w:rPr>
                <w:rFonts w:cs="Arial"/>
                <w:sz w:val="24"/>
                <w:szCs w:val="24"/>
              </w:rPr>
              <w:t xml:space="preserve">Yes </w:t>
            </w:r>
          </w:p>
        </w:tc>
      </w:tr>
      <w:tr w:rsidR="001C7E35" w14:paraId="7E5497E1" w14:textId="77777777" w:rsidTr="001D14A7">
        <w:tc>
          <w:tcPr>
            <w:tcW w:w="3397" w:type="dxa"/>
          </w:tcPr>
          <w:p w14:paraId="6B5E6A6A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12" w:type="dxa"/>
          </w:tcPr>
          <w:p w14:paraId="52E38AE7" w14:textId="08F22D67" w:rsidR="00307F76" w:rsidRPr="00307F76" w:rsidRDefault="00261DAC" w:rsidP="00D835CF">
            <w:pPr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1C7E35" w14:paraId="5F1445BF" w14:textId="77777777" w:rsidTr="001D14A7">
        <w:tc>
          <w:tcPr>
            <w:tcW w:w="3397" w:type="dxa"/>
          </w:tcPr>
          <w:p w14:paraId="0E539C63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4912" w:type="dxa"/>
          </w:tcPr>
          <w:p w14:paraId="72811950" w14:textId="77777777" w:rsidR="001C7E35" w:rsidRDefault="00DC15D2" w:rsidP="00261DAC">
            <w:pPr>
              <w:pStyle w:val="Infotext"/>
              <w:rPr>
                <w:sz w:val="24"/>
                <w:szCs w:val="24"/>
              </w:rPr>
            </w:pPr>
            <w:r w:rsidRPr="003E7391">
              <w:rPr>
                <w:sz w:val="24"/>
                <w:szCs w:val="24"/>
              </w:rPr>
              <w:t xml:space="preserve">Appendix </w:t>
            </w:r>
            <w:r w:rsidR="007A0409">
              <w:rPr>
                <w:sz w:val="24"/>
                <w:szCs w:val="24"/>
              </w:rPr>
              <w:t>A</w:t>
            </w:r>
            <w:r w:rsidRPr="003E7391">
              <w:rPr>
                <w:sz w:val="24"/>
                <w:szCs w:val="24"/>
              </w:rPr>
              <w:t xml:space="preserve"> - Panels &amp; Consultative Forums - Memberships, Chairs and Nominated Members</w:t>
            </w:r>
          </w:p>
          <w:p w14:paraId="6668D730" w14:textId="739C8A0C" w:rsidR="00BC2943" w:rsidRPr="005E3A10" w:rsidRDefault="00BC2943" w:rsidP="00261DAC">
            <w:pPr>
              <w:pStyle w:val="Infotext"/>
              <w:rPr>
                <w:color w:val="FF0000"/>
                <w:sz w:val="24"/>
                <w:szCs w:val="24"/>
              </w:rPr>
            </w:pPr>
            <w:r w:rsidRPr="00BC2943">
              <w:rPr>
                <w:sz w:val="24"/>
                <w:szCs w:val="24"/>
              </w:rPr>
              <w:t>Appendix B – Cabinet Advisory Panels Terms of Reference</w:t>
            </w:r>
          </w:p>
        </w:tc>
      </w:tr>
    </w:tbl>
    <w:p w14:paraId="45985E0C" w14:textId="77777777" w:rsidR="001D14A7" w:rsidRPr="001D14A7" w:rsidRDefault="001D14A7" w:rsidP="001D14A7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333FAA" w14:paraId="39320826" w14:textId="77777777" w:rsidTr="00757758">
        <w:tc>
          <w:tcPr>
            <w:tcW w:w="8309" w:type="dxa"/>
            <w:tcBorders>
              <w:top w:val="nil"/>
              <w:left w:val="nil"/>
              <w:right w:val="nil"/>
            </w:tcBorders>
          </w:tcPr>
          <w:p w14:paraId="3BC91258" w14:textId="77777777" w:rsidR="002B00CA" w:rsidRDefault="002B00CA" w:rsidP="00605A4C">
            <w:pPr>
              <w:pStyle w:val="Heading2"/>
              <w:spacing w:after="240"/>
            </w:pPr>
          </w:p>
          <w:p w14:paraId="1FB359CF" w14:textId="77777777" w:rsidR="002B00CA" w:rsidRDefault="002B00CA" w:rsidP="00605A4C">
            <w:pPr>
              <w:pStyle w:val="Heading2"/>
              <w:spacing w:after="240"/>
            </w:pPr>
          </w:p>
          <w:p w14:paraId="2BF82AD9" w14:textId="77777777" w:rsidR="002B00CA" w:rsidRDefault="002B00CA" w:rsidP="00605A4C">
            <w:pPr>
              <w:pStyle w:val="Heading2"/>
              <w:spacing w:after="240"/>
            </w:pPr>
          </w:p>
          <w:p w14:paraId="46575BDA" w14:textId="77777777" w:rsidR="002B00CA" w:rsidRDefault="002B00CA" w:rsidP="00605A4C">
            <w:pPr>
              <w:pStyle w:val="Heading2"/>
              <w:spacing w:after="240"/>
            </w:pPr>
          </w:p>
          <w:p w14:paraId="580446FF" w14:textId="77777777" w:rsidR="002B00CA" w:rsidRDefault="002B00CA" w:rsidP="00605A4C">
            <w:pPr>
              <w:pStyle w:val="Heading2"/>
              <w:spacing w:after="240"/>
            </w:pPr>
          </w:p>
          <w:p w14:paraId="3A67BFB3" w14:textId="206B861A" w:rsidR="00333FAA" w:rsidRDefault="00333FAA" w:rsidP="00605A4C">
            <w:pPr>
              <w:pStyle w:val="Heading2"/>
              <w:spacing w:after="240"/>
            </w:pPr>
            <w:r>
              <w:lastRenderedPageBreak/>
              <w:t>Section 1 – Summary and Recommendations</w:t>
            </w:r>
          </w:p>
        </w:tc>
      </w:tr>
      <w:tr w:rsidR="00333FAA" w14:paraId="5D78E563" w14:textId="77777777" w:rsidTr="00757758">
        <w:tc>
          <w:tcPr>
            <w:tcW w:w="8309" w:type="dxa"/>
          </w:tcPr>
          <w:p w14:paraId="665A3E14" w14:textId="0BA6477C" w:rsidR="00DC15D2" w:rsidRPr="006F4E49" w:rsidRDefault="00DC15D2" w:rsidP="00DC15D2">
            <w:pPr>
              <w:jc w:val="both"/>
            </w:pPr>
            <w:r w:rsidRPr="006F4E49">
              <w:lastRenderedPageBreak/>
              <w:t>Th</w:t>
            </w:r>
            <w:r>
              <w:t>is</w:t>
            </w:r>
            <w:r w:rsidRPr="006F4E49">
              <w:t xml:space="preserve"> report sets out the memberships </w:t>
            </w:r>
            <w:r w:rsidR="00BC2943">
              <w:t xml:space="preserve">and terms of reference </w:t>
            </w:r>
            <w:r w:rsidRPr="006F4E49">
              <w:t>of Cabinet Panels and Consultative Forums, including t</w:t>
            </w:r>
            <w:r>
              <w:t>he Chairs and Nominated Members. The Terms of Reference of the bodies are set out in the Council’s Constitution</w:t>
            </w:r>
            <w:r w:rsidR="00836823">
              <w:t xml:space="preserve"> and attached at Appendix B</w:t>
            </w:r>
            <w:r>
              <w:t xml:space="preserve">. </w:t>
            </w:r>
          </w:p>
          <w:p w14:paraId="02274D72" w14:textId="4B278F75" w:rsidR="001C7E35" w:rsidRDefault="00605A4C" w:rsidP="00E13BEF">
            <w:pPr>
              <w:pStyle w:val="Heading3"/>
              <w:spacing w:before="240"/>
            </w:pPr>
            <w:r>
              <w:t>Recommen</w:t>
            </w:r>
            <w:r w:rsidR="001C7E35" w:rsidRPr="00605A4C">
              <w:t xml:space="preserve">dations: </w:t>
            </w:r>
          </w:p>
          <w:p w14:paraId="7FF08587" w14:textId="77777777" w:rsidR="00261DAC" w:rsidRDefault="00261DAC" w:rsidP="00261DAC"/>
          <w:p w14:paraId="33C9187E" w14:textId="473979F7" w:rsidR="00DC15D2" w:rsidRDefault="00DC15D2" w:rsidP="005A167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That the </w:t>
            </w:r>
            <w:r w:rsidR="001D14A7">
              <w:t>m</w:t>
            </w:r>
            <w:r>
              <w:t xml:space="preserve">embership </w:t>
            </w:r>
            <w:r w:rsidR="00BC2943">
              <w:t xml:space="preserve">and terms of reference </w:t>
            </w:r>
            <w:r>
              <w:t xml:space="preserve">of Cabinet Panels and Consultative Forums, the Chairs and Nominated Members of the Panels and Consultative Forums </w:t>
            </w:r>
            <w:r w:rsidR="0011438A">
              <w:t xml:space="preserve">as set out in Appendix A to the report </w:t>
            </w:r>
            <w:r>
              <w:t>be confirmed.</w:t>
            </w:r>
          </w:p>
          <w:p w14:paraId="0308CE01" w14:textId="77777777" w:rsidR="0011438A" w:rsidRDefault="0011438A" w:rsidP="0011438A">
            <w:pPr>
              <w:pStyle w:val="ListParagraph"/>
              <w:jc w:val="both"/>
            </w:pPr>
          </w:p>
          <w:p w14:paraId="2C81DA4D" w14:textId="0CA07C57" w:rsidR="00DC15D2" w:rsidRDefault="00E13BEF" w:rsidP="00DC15D2">
            <w:r w:rsidRPr="00261DAC">
              <w:rPr>
                <w:rFonts w:cs="Arial"/>
                <w:b/>
                <w:bCs/>
                <w:sz w:val="28"/>
                <w:szCs w:val="28"/>
              </w:rPr>
              <w:t>Reason: (f</w:t>
            </w:r>
            <w:r w:rsidR="001C7E35" w:rsidRPr="00261DAC">
              <w:rPr>
                <w:rFonts w:cs="Arial"/>
                <w:b/>
                <w:bCs/>
                <w:sz w:val="28"/>
                <w:szCs w:val="28"/>
              </w:rPr>
              <w:t>or recommendation</w:t>
            </w:r>
            <w:r w:rsidR="00714BEE" w:rsidRPr="00261DAC">
              <w:rPr>
                <w:rFonts w:cs="Arial"/>
                <w:b/>
                <w:bCs/>
                <w:sz w:val="28"/>
                <w:szCs w:val="28"/>
              </w:rPr>
              <w:t>s</w:t>
            </w:r>
            <w:r w:rsidR="00261DAC" w:rsidRPr="00261DAC"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14:paraId="569B9862" w14:textId="77777777" w:rsidR="00333FAA" w:rsidRDefault="00DC15D2" w:rsidP="003A29EA">
            <w:pPr>
              <w:pStyle w:val="Heading2"/>
              <w:rPr>
                <w:rFonts w:ascii="Arial" w:hAnsi="Arial" w:cs="Times New Roman"/>
                <w:b w:val="0"/>
                <w:bCs w:val="0"/>
                <w:sz w:val="24"/>
                <w:szCs w:val="20"/>
              </w:rPr>
            </w:pPr>
            <w:r w:rsidRPr="00DC15D2">
              <w:rPr>
                <w:rFonts w:ascii="Arial" w:hAnsi="Arial" w:cs="Times New Roman"/>
                <w:b w:val="0"/>
                <w:bCs w:val="0"/>
                <w:sz w:val="24"/>
                <w:szCs w:val="20"/>
              </w:rPr>
              <w:t>To confirm appointments and to allow the Panels to be constituted.</w:t>
            </w:r>
          </w:p>
          <w:p w14:paraId="313BC81E" w14:textId="3D7BEF64" w:rsidR="006D6F50" w:rsidRPr="006D6F50" w:rsidRDefault="006D6F50" w:rsidP="006D6F50"/>
        </w:tc>
      </w:tr>
    </w:tbl>
    <w:p w14:paraId="0204F38A" w14:textId="77777777" w:rsidR="00333FAA" w:rsidRDefault="00333FAA" w:rsidP="00F06E4E">
      <w:pPr>
        <w:pStyle w:val="Heading2"/>
        <w:spacing w:before="480"/>
      </w:pPr>
      <w:r>
        <w:t>Section 2 – Report</w:t>
      </w:r>
    </w:p>
    <w:p w14:paraId="76168D48" w14:textId="3E4D2964" w:rsidR="001C7E35" w:rsidRDefault="001C7E35" w:rsidP="00F06E4E">
      <w:pPr>
        <w:pStyle w:val="Heading3"/>
        <w:spacing w:before="240"/>
      </w:pPr>
      <w:r>
        <w:t>Introductory paragraph</w:t>
      </w:r>
    </w:p>
    <w:p w14:paraId="3139AD02" w14:textId="77777777" w:rsidR="00261DAC" w:rsidRPr="00261DAC" w:rsidRDefault="00261DAC" w:rsidP="00261DAC"/>
    <w:p w14:paraId="63A31AAD" w14:textId="5CC85E3C" w:rsidR="00261DAC" w:rsidRDefault="00DC15D2" w:rsidP="00261DAC">
      <w:pPr>
        <w:jc w:val="both"/>
      </w:pPr>
      <w:r>
        <w:t>Members of Council bodies are appointed in accordance with the wishes of the political groups. The names of the Members, including the Chairs and Nominated Members</w:t>
      </w:r>
      <w:r w:rsidR="00E27D16">
        <w:t xml:space="preserve"> for each body</w:t>
      </w:r>
      <w:r>
        <w:t xml:space="preserve">, are set out at Appendix </w:t>
      </w:r>
      <w:r w:rsidR="00D436B2">
        <w:t>A</w:t>
      </w:r>
      <w:r>
        <w:t xml:space="preserve"> to the report.</w:t>
      </w:r>
    </w:p>
    <w:p w14:paraId="317D22A8" w14:textId="77777777" w:rsidR="00261DAC" w:rsidRDefault="00261DAC" w:rsidP="00261DAC">
      <w:pPr>
        <w:jc w:val="both"/>
      </w:pPr>
    </w:p>
    <w:p w14:paraId="0A078380" w14:textId="488E36A9" w:rsidR="00AD1E77" w:rsidRDefault="001C7E35" w:rsidP="00261DAC">
      <w:pPr>
        <w:rPr>
          <w:b/>
          <w:bCs/>
          <w:sz w:val="28"/>
          <w:szCs w:val="22"/>
        </w:rPr>
      </w:pPr>
      <w:r w:rsidRPr="00261DAC">
        <w:rPr>
          <w:b/>
          <w:bCs/>
          <w:sz w:val="28"/>
          <w:szCs w:val="22"/>
        </w:rPr>
        <w:t xml:space="preserve">Options considered  </w:t>
      </w:r>
    </w:p>
    <w:p w14:paraId="719D2DEA" w14:textId="7585D426" w:rsidR="00DC15D2" w:rsidRDefault="00DC15D2" w:rsidP="00DC15D2">
      <w:r w:rsidRPr="006C410E">
        <w:t xml:space="preserve">There </w:t>
      </w:r>
      <w:r w:rsidR="007A0409">
        <w:t>are</w:t>
      </w:r>
      <w:r w:rsidRPr="006C410E">
        <w:t xml:space="preserve"> no options to be considered.</w:t>
      </w:r>
    </w:p>
    <w:p w14:paraId="37AC8C03" w14:textId="77777777" w:rsidR="0054590F" w:rsidRPr="00F06E4E" w:rsidRDefault="0054590F" w:rsidP="0054590F">
      <w:pPr>
        <w:rPr>
          <w:szCs w:val="24"/>
        </w:rPr>
      </w:pPr>
    </w:p>
    <w:p w14:paraId="1FAC06D2" w14:textId="77777777" w:rsidR="00261DAC" w:rsidRPr="00E91AB5" w:rsidRDefault="00261DAC" w:rsidP="00261DAC">
      <w:pPr>
        <w:pStyle w:val="Heading2"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Legal Implications</w:t>
      </w:r>
    </w:p>
    <w:p w14:paraId="45E85EFA" w14:textId="28480BD4" w:rsidR="00EF3871" w:rsidRDefault="00EF3871" w:rsidP="00EF3871">
      <w:r>
        <w:t>There are no legal implications arising from this report.</w:t>
      </w:r>
    </w:p>
    <w:p w14:paraId="4B8D5254" w14:textId="77777777" w:rsidR="00261DAC" w:rsidRDefault="00261DAC" w:rsidP="00261DAC">
      <w:pPr>
        <w:pStyle w:val="Heading2"/>
      </w:pPr>
    </w:p>
    <w:p w14:paraId="03EEE714" w14:textId="12A12822" w:rsidR="00261DAC" w:rsidRPr="00E91AB5" w:rsidRDefault="00261DAC" w:rsidP="00261DAC">
      <w:pPr>
        <w:pStyle w:val="Heading2"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Financial Implications</w:t>
      </w:r>
    </w:p>
    <w:p w14:paraId="7AD73A0F" w14:textId="2A1BC051" w:rsidR="00DC15D2" w:rsidRDefault="00DC15D2" w:rsidP="00DC15D2">
      <w:r>
        <w:t>There are no financial implications arising from this report.</w:t>
      </w:r>
    </w:p>
    <w:p w14:paraId="670E06BB" w14:textId="0725DC8A" w:rsidR="00A1211C" w:rsidRDefault="00A1211C" w:rsidP="0054590F">
      <w:pPr>
        <w:rPr>
          <w:rFonts w:cs="Arial"/>
        </w:rPr>
      </w:pPr>
    </w:p>
    <w:p w14:paraId="6B5F3765" w14:textId="28F7BBFF" w:rsidR="00261DAC" w:rsidRPr="00E91AB5" w:rsidRDefault="00261DAC" w:rsidP="00261DAC">
      <w:pPr>
        <w:pStyle w:val="Heading2"/>
        <w:keepNext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Equalities implications / Public Sector Equality Duty</w:t>
      </w:r>
    </w:p>
    <w:p w14:paraId="79FCFFB9" w14:textId="4800D704" w:rsidR="00DC15D2" w:rsidRDefault="00DC15D2" w:rsidP="00DC15D2">
      <w:pPr>
        <w:rPr>
          <w:rFonts w:cs="Arial"/>
          <w:szCs w:val="24"/>
        </w:rPr>
      </w:pPr>
      <w:r w:rsidRPr="006C410E">
        <w:rPr>
          <w:rFonts w:cs="Arial"/>
          <w:szCs w:val="24"/>
        </w:rPr>
        <w:t>There are no equalities implications associated with this report.</w:t>
      </w:r>
    </w:p>
    <w:p w14:paraId="0E9ED8C5" w14:textId="42551E7A" w:rsidR="00333FAA" w:rsidRDefault="00333FAA" w:rsidP="00EF3871">
      <w:pPr>
        <w:pStyle w:val="Heading3"/>
        <w:spacing w:before="480"/>
        <w:rPr>
          <w:rFonts w:cs="Times New Roman"/>
          <w:szCs w:val="22"/>
        </w:rPr>
      </w:pPr>
      <w:r w:rsidRPr="00E91AB5">
        <w:rPr>
          <w:rFonts w:cs="Times New Roman"/>
          <w:szCs w:val="22"/>
        </w:rPr>
        <w:t>Council Priorities</w:t>
      </w:r>
    </w:p>
    <w:p w14:paraId="5F80600F" w14:textId="77777777" w:rsidR="00DC15D2" w:rsidRDefault="00DC15D2" w:rsidP="00EF3871">
      <w:r w:rsidRPr="006C410E">
        <w:t>This report has no direct effect on the Corporate Priorities.</w:t>
      </w:r>
    </w:p>
    <w:p w14:paraId="5514D939" w14:textId="74BDD0E4" w:rsidR="00333FAA" w:rsidRDefault="00333FAA" w:rsidP="000B7C66">
      <w:pPr>
        <w:pStyle w:val="Heading2"/>
        <w:spacing w:before="480" w:after="240"/>
      </w:pPr>
      <w:r>
        <w:t>Section 3 - Statutory Officer Clearance</w:t>
      </w:r>
    </w:p>
    <w:p w14:paraId="7E329E85" w14:textId="67855C2D" w:rsidR="00A66326" w:rsidRPr="00A66326" w:rsidRDefault="00A66326" w:rsidP="00A66326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E8618D">
        <w:rPr>
          <w:b/>
          <w:sz w:val="28"/>
        </w:rPr>
        <w:t>Jessica Farmer</w:t>
      </w:r>
    </w:p>
    <w:p w14:paraId="76F84634" w14:textId="13F98B49" w:rsidR="00A66326" w:rsidRPr="00A66326" w:rsidRDefault="00A66326" w:rsidP="00A66326">
      <w:r w:rsidRPr="00A66326">
        <w:t>Signed by</w:t>
      </w:r>
      <w:r w:rsidR="00E8618D">
        <w:t xml:space="preserve"> </w:t>
      </w:r>
      <w:r w:rsidRPr="00A66326">
        <w:t>the Monitoring Officer</w:t>
      </w:r>
    </w:p>
    <w:p w14:paraId="1AC0D358" w14:textId="1610B069" w:rsidR="00A66326" w:rsidRDefault="00A66326" w:rsidP="00A66326">
      <w:pPr>
        <w:spacing w:after="480"/>
        <w:rPr>
          <w:b/>
          <w:sz w:val="28"/>
        </w:rPr>
      </w:pPr>
      <w:r w:rsidRPr="00A66326">
        <w:rPr>
          <w:b/>
          <w:sz w:val="28"/>
        </w:rPr>
        <w:t xml:space="preserve">Date:  </w:t>
      </w:r>
      <w:r w:rsidR="00E8618D">
        <w:rPr>
          <w:b/>
          <w:sz w:val="28"/>
        </w:rPr>
        <w:t>19/05/23</w:t>
      </w:r>
    </w:p>
    <w:p w14:paraId="45A19EC7" w14:textId="59434FDF" w:rsidR="003313EA" w:rsidRPr="00435B5D" w:rsidRDefault="003313EA" w:rsidP="00BF5AFA">
      <w:pPr>
        <w:pStyle w:val="Heading2"/>
        <w:spacing w:before="480" w:after="240"/>
      </w:pPr>
      <w:r>
        <w:lastRenderedPageBreak/>
        <w:t>Mandatory Checks</w:t>
      </w:r>
    </w:p>
    <w:p w14:paraId="64551188" w14:textId="6054CE40" w:rsidR="003313EA" w:rsidRPr="00A406F3" w:rsidRDefault="003313EA" w:rsidP="003313EA">
      <w:pPr>
        <w:pStyle w:val="Heading3"/>
        <w:ind w:left="0" w:firstLine="0"/>
        <w:jc w:val="left"/>
      </w:pPr>
      <w:r w:rsidRPr="003313EA">
        <w:t xml:space="preserve">Ward Councillors </w:t>
      </w:r>
      <w:r>
        <w:t xml:space="preserve">notified:  </w:t>
      </w:r>
      <w:r w:rsidRPr="00A406F3">
        <w:t>NO</w:t>
      </w:r>
      <w:r w:rsidRPr="00333FAA">
        <w:t>, as it impacts on all Wards</w:t>
      </w:r>
      <w:r w:rsidRPr="00A406F3">
        <w:t xml:space="preserve"> </w:t>
      </w:r>
    </w:p>
    <w:p w14:paraId="2A2D9472" w14:textId="3C26DB4C" w:rsidR="003313EA" w:rsidRPr="00202D79" w:rsidRDefault="003313EA" w:rsidP="003313EA">
      <w:pPr>
        <w:pStyle w:val="Heading3"/>
        <w:spacing w:before="240"/>
        <w:rPr>
          <w:b w:val="0"/>
        </w:rPr>
      </w:pPr>
      <w:proofErr w:type="spellStart"/>
      <w:r w:rsidRPr="00202D79">
        <w:t>EqIA</w:t>
      </w:r>
      <w:proofErr w:type="spellEnd"/>
      <w:r w:rsidRPr="00202D79">
        <w:t xml:space="preserve"> carried out:</w:t>
      </w:r>
      <w:r>
        <w:t xml:space="preserve">  </w:t>
      </w:r>
      <w:r w:rsidRPr="00202D79">
        <w:t>NO</w:t>
      </w:r>
    </w:p>
    <w:p w14:paraId="6B589F3A" w14:textId="70A21D12" w:rsidR="003313EA" w:rsidRPr="00303FD6" w:rsidRDefault="003313EA" w:rsidP="00842757">
      <w:pPr>
        <w:pStyle w:val="Heading3"/>
        <w:spacing w:before="240"/>
        <w:jc w:val="left"/>
        <w:rPr>
          <w:color w:val="FF0000"/>
        </w:rPr>
      </w:pPr>
      <w:proofErr w:type="spellStart"/>
      <w:r w:rsidRPr="00202D79">
        <w:t>EqIA</w:t>
      </w:r>
      <w:proofErr w:type="spellEnd"/>
      <w:r w:rsidRPr="00202D79">
        <w:t xml:space="preserve"> cleared by:</w:t>
      </w:r>
      <w:r>
        <w:t xml:space="preserve">  </w:t>
      </w:r>
      <w:r w:rsidR="00261DAC">
        <w:t>N/A</w:t>
      </w:r>
    </w:p>
    <w:p w14:paraId="41E16C55" w14:textId="77777777" w:rsidR="00333FAA" w:rsidRDefault="00333FAA" w:rsidP="00842757">
      <w:pPr>
        <w:pStyle w:val="Heading2"/>
        <w:spacing w:before="480" w:after="240"/>
      </w:pPr>
      <w:r>
        <w:t xml:space="preserve">Section </w:t>
      </w:r>
      <w:r w:rsidR="00A20113">
        <w:t>4</w:t>
      </w:r>
      <w:r>
        <w:t xml:space="preserve"> - Contact Details and Background Papers</w:t>
      </w:r>
    </w:p>
    <w:p w14:paraId="2FD4F365" w14:textId="588AB40A" w:rsidR="00261DAC" w:rsidRPr="00E8618D" w:rsidRDefault="00333FAA" w:rsidP="00261DAC">
      <w:pPr>
        <w:pStyle w:val="Infotext"/>
        <w:rPr>
          <w:rStyle w:val="Hyperlink"/>
          <w:sz w:val="24"/>
          <w:szCs w:val="24"/>
        </w:rPr>
      </w:pPr>
      <w:r w:rsidRPr="004E47FC">
        <w:rPr>
          <w:b/>
        </w:rPr>
        <w:t>Contact</w:t>
      </w:r>
      <w:r w:rsidR="00261DAC">
        <w:rPr>
          <w:sz w:val="24"/>
          <w:szCs w:val="24"/>
        </w:rPr>
        <w:t xml:space="preserve">: </w:t>
      </w:r>
      <w:r w:rsidR="00BC2943">
        <w:rPr>
          <w:sz w:val="24"/>
          <w:szCs w:val="24"/>
        </w:rPr>
        <w:t>Nikoleta Kemp, Senior Democratic and Electoral Services</w:t>
      </w:r>
      <w:r w:rsidR="00E8618D">
        <w:rPr>
          <w:sz w:val="24"/>
          <w:szCs w:val="24"/>
        </w:rPr>
        <w:t xml:space="preserve"> Officer, </w:t>
      </w:r>
      <w:hyperlink r:id="rId14" w:history="1">
        <w:r w:rsidR="00E8618D" w:rsidRPr="0077420F">
          <w:rPr>
            <w:rStyle w:val="Hyperlink"/>
            <w:sz w:val="24"/>
            <w:szCs w:val="24"/>
          </w:rPr>
          <w:t>Nikoleta.Kemp@harrow.gov.uk</w:t>
        </w:r>
      </w:hyperlink>
      <w:r w:rsidR="00E8618D">
        <w:rPr>
          <w:sz w:val="24"/>
          <w:szCs w:val="24"/>
        </w:rPr>
        <w:t xml:space="preserve">, tel. </w:t>
      </w:r>
      <w:r w:rsidR="00E8618D" w:rsidRPr="00E8618D">
        <w:rPr>
          <w:sz w:val="24"/>
          <w:szCs w:val="24"/>
        </w:rPr>
        <w:t>07761 405 898</w:t>
      </w:r>
    </w:p>
    <w:p w14:paraId="43900130" w14:textId="77777777" w:rsidR="00261DAC" w:rsidRDefault="00261DAC" w:rsidP="00261DAC"/>
    <w:p w14:paraId="3D7BED56" w14:textId="4B5712B5" w:rsidR="00261DAC" w:rsidRPr="0005058B" w:rsidRDefault="00333FAA" w:rsidP="00261DAC">
      <w:pPr>
        <w:pStyle w:val="Infotext"/>
        <w:rPr>
          <w:sz w:val="24"/>
          <w:szCs w:val="24"/>
        </w:rPr>
      </w:pPr>
      <w:r w:rsidRPr="004E47FC">
        <w:rPr>
          <w:b/>
        </w:rPr>
        <w:t>Background Papers</w:t>
      </w:r>
      <w:r w:rsidR="00261DAC">
        <w:rPr>
          <w:b/>
        </w:rPr>
        <w:t>:</w:t>
      </w:r>
      <w:r w:rsidR="00E91AB5">
        <w:rPr>
          <w:b/>
        </w:rPr>
        <w:t xml:space="preserve"> </w:t>
      </w:r>
      <w:hyperlink r:id="rId15" w:history="1">
        <w:r w:rsidR="003A29EA" w:rsidRPr="002B00CA">
          <w:rPr>
            <w:rStyle w:val="Hyperlink"/>
            <w:b/>
            <w:sz w:val="24"/>
            <w:szCs w:val="18"/>
          </w:rPr>
          <w:t>Council Constitution</w:t>
        </w:r>
      </w:hyperlink>
      <w:r w:rsidR="003A29EA">
        <w:rPr>
          <w:b/>
        </w:rPr>
        <w:t xml:space="preserve"> </w:t>
      </w:r>
    </w:p>
    <w:p w14:paraId="3843B043" w14:textId="337B18AC" w:rsidR="00842757" w:rsidRDefault="00842757" w:rsidP="00261DAC">
      <w:pPr>
        <w:pStyle w:val="Infotext"/>
        <w:spacing w:before="480"/>
        <w:rPr>
          <w:rFonts w:cs="Arial"/>
        </w:rPr>
      </w:pPr>
      <w:r>
        <w:rPr>
          <w:rFonts w:ascii="Arial Black" w:hAnsi="Arial Black"/>
        </w:rPr>
        <w:t>Call-in w</w:t>
      </w:r>
      <w:r w:rsidRPr="007C0DC3">
        <w:rPr>
          <w:rFonts w:ascii="Arial Black" w:hAnsi="Arial Black"/>
        </w:rPr>
        <w:t>aived by the Chair of Overview and Scrutiny Committee</w:t>
      </w:r>
      <w:r w:rsidR="00E91AB5">
        <w:rPr>
          <w:rFonts w:ascii="Arial Black" w:hAnsi="Arial Black"/>
        </w:rPr>
        <w:t xml:space="preserve"> </w:t>
      </w:r>
      <w:r w:rsidR="005A167D">
        <w:rPr>
          <w:rFonts w:ascii="Arial Black" w:hAnsi="Arial Black"/>
        </w:rPr>
        <w:t>–</w:t>
      </w:r>
      <w:r w:rsidR="00E91AB5">
        <w:rPr>
          <w:rFonts w:ascii="Arial Black" w:hAnsi="Arial Black"/>
        </w:rPr>
        <w:t xml:space="preserve"> </w:t>
      </w:r>
      <w:r w:rsidR="00E91AB5" w:rsidRPr="00E91AB5">
        <w:rPr>
          <w:rFonts w:cs="Arial"/>
        </w:rPr>
        <w:t>NO</w:t>
      </w:r>
    </w:p>
    <w:p w14:paraId="1480922B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3A0931B9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65A6D930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535BB141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02A111E3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134B43BF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4F0813AA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584156F1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76761FAA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04E010D8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p w14:paraId="5C11E43B" w14:textId="77777777" w:rsidR="00D8684C" w:rsidRDefault="00D8684C" w:rsidP="007A0409">
      <w:pPr>
        <w:pStyle w:val="Heading1"/>
        <w:ind w:hanging="709"/>
        <w:rPr>
          <w:rFonts w:ascii="Arial" w:hAnsi="Arial"/>
          <w:b/>
          <w:bCs w:val="0"/>
          <w:sz w:val="28"/>
          <w:szCs w:val="24"/>
        </w:rPr>
      </w:pPr>
    </w:p>
    <w:sectPr w:rsidR="00D8684C" w:rsidSect="001614E0">
      <w:headerReference w:type="default" r:id="rId16"/>
      <w:headerReference w:type="first" r:id="rId17"/>
      <w:footerReference w:type="first" r:id="rId18"/>
      <w:pgSz w:w="11909" w:h="16834" w:code="9"/>
      <w:pgMar w:top="72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58C7" w14:textId="77777777" w:rsidR="007F335A" w:rsidRDefault="007F335A">
      <w:r>
        <w:separator/>
      </w:r>
    </w:p>
  </w:endnote>
  <w:endnote w:type="continuationSeparator" w:id="0">
    <w:p w14:paraId="095024F0" w14:textId="77777777" w:rsidR="007F335A" w:rsidRDefault="007F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D47" w14:textId="77777777" w:rsidR="00952CEF" w:rsidRPr="004F56C5" w:rsidRDefault="00952CEF" w:rsidP="004F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B808" w14:textId="77777777" w:rsidR="007F335A" w:rsidRDefault="007F335A">
      <w:r>
        <w:separator/>
      </w:r>
    </w:p>
  </w:footnote>
  <w:footnote w:type="continuationSeparator" w:id="0">
    <w:p w14:paraId="24B52E60" w14:textId="77777777" w:rsidR="007F335A" w:rsidRDefault="007F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C79B" w14:textId="77777777" w:rsidR="00952CEF" w:rsidRDefault="00952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9454" w14:textId="77777777" w:rsidR="00952CEF" w:rsidRDefault="00952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5DE"/>
    <w:multiLevelType w:val="hybridMultilevel"/>
    <w:tmpl w:val="05DAD9A6"/>
    <w:lvl w:ilvl="0" w:tplc="9CB65D5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0B2F64"/>
    <w:multiLevelType w:val="hybridMultilevel"/>
    <w:tmpl w:val="316684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B36F0"/>
    <w:multiLevelType w:val="hybridMultilevel"/>
    <w:tmpl w:val="51E63AC2"/>
    <w:lvl w:ilvl="0" w:tplc="CDB4FD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EF54B7"/>
    <w:multiLevelType w:val="hybridMultilevel"/>
    <w:tmpl w:val="3CF850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466877">
    <w:abstractNumId w:val="1"/>
  </w:num>
  <w:num w:numId="2" w16cid:durableId="904219492">
    <w:abstractNumId w:val="4"/>
  </w:num>
  <w:num w:numId="3" w16cid:durableId="386225176">
    <w:abstractNumId w:val="3"/>
  </w:num>
  <w:num w:numId="4" w16cid:durableId="1593660862">
    <w:abstractNumId w:val="0"/>
  </w:num>
  <w:num w:numId="5" w16cid:durableId="165926126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A"/>
    <w:rsid w:val="0000089B"/>
    <w:rsid w:val="0004029A"/>
    <w:rsid w:val="000474E3"/>
    <w:rsid w:val="00060181"/>
    <w:rsid w:val="0006034E"/>
    <w:rsid w:val="00063783"/>
    <w:rsid w:val="00073765"/>
    <w:rsid w:val="000929A6"/>
    <w:rsid w:val="000B5015"/>
    <w:rsid w:val="000B788F"/>
    <w:rsid w:val="000B7C66"/>
    <w:rsid w:val="000D4E36"/>
    <w:rsid w:val="000E62FE"/>
    <w:rsid w:val="00105B8A"/>
    <w:rsid w:val="0011438A"/>
    <w:rsid w:val="001161E4"/>
    <w:rsid w:val="00125A26"/>
    <w:rsid w:val="001472A8"/>
    <w:rsid w:val="0015376F"/>
    <w:rsid w:val="001614E0"/>
    <w:rsid w:val="00171BD8"/>
    <w:rsid w:val="0017653E"/>
    <w:rsid w:val="00182B01"/>
    <w:rsid w:val="001840D2"/>
    <w:rsid w:val="001966D7"/>
    <w:rsid w:val="001C4D2E"/>
    <w:rsid w:val="001C7E35"/>
    <w:rsid w:val="001D14A7"/>
    <w:rsid w:val="001E3C06"/>
    <w:rsid w:val="001F0037"/>
    <w:rsid w:val="001F0BE9"/>
    <w:rsid w:val="001F3BE1"/>
    <w:rsid w:val="00202D79"/>
    <w:rsid w:val="00205D2F"/>
    <w:rsid w:val="00215E8F"/>
    <w:rsid w:val="00221A93"/>
    <w:rsid w:val="002322BB"/>
    <w:rsid w:val="00251254"/>
    <w:rsid w:val="002548D1"/>
    <w:rsid w:val="00261DAC"/>
    <w:rsid w:val="0027283B"/>
    <w:rsid w:val="00276F18"/>
    <w:rsid w:val="0028019B"/>
    <w:rsid w:val="00282E73"/>
    <w:rsid w:val="00283CAB"/>
    <w:rsid w:val="0028525A"/>
    <w:rsid w:val="002A3FEF"/>
    <w:rsid w:val="002B00CA"/>
    <w:rsid w:val="002B54A6"/>
    <w:rsid w:val="002F3EE9"/>
    <w:rsid w:val="00307F76"/>
    <w:rsid w:val="00321FBB"/>
    <w:rsid w:val="003313EA"/>
    <w:rsid w:val="00333FAA"/>
    <w:rsid w:val="003355D7"/>
    <w:rsid w:val="0036201C"/>
    <w:rsid w:val="00376768"/>
    <w:rsid w:val="003A29EA"/>
    <w:rsid w:val="003C270D"/>
    <w:rsid w:val="003F3AFD"/>
    <w:rsid w:val="004076C8"/>
    <w:rsid w:val="004207E3"/>
    <w:rsid w:val="00421A4C"/>
    <w:rsid w:val="004238C2"/>
    <w:rsid w:val="00435B5D"/>
    <w:rsid w:val="004363F7"/>
    <w:rsid w:val="0044525C"/>
    <w:rsid w:val="004553F1"/>
    <w:rsid w:val="00471C1F"/>
    <w:rsid w:val="004809FA"/>
    <w:rsid w:val="004C4A75"/>
    <w:rsid w:val="004D2DA0"/>
    <w:rsid w:val="004E14A4"/>
    <w:rsid w:val="004F54BD"/>
    <w:rsid w:val="004F56C5"/>
    <w:rsid w:val="00506185"/>
    <w:rsid w:val="005354D0"/>
    <w:rsid w:val="0054172C"/>
    <w:rsid w:val="0054590F"/>
    <w:rsid w:val="005459EC"/>
    <w:rsid w:val="005718B5"/>
    <w:rsid w:val="005808FB"/>
    <w:rsid w:val="005811F8"/>
    <w:rsid w:val="00582605"/>
    <w:rsid w:val="00591016"/>
    <w:rsid w:val="005A167D"/>
    <w:rsid w:val="005B3F67"/>
    <w:rsid w:val="005D548F"/>
    <w:rsid w:val="005D6EF5"/>
    <w:rsid w:val="005E3A10"/>
    <w:rsid w:val="005E7509"/>
    <w:rsid w:val="00601D7F"/>
    <w:rsid w:val="00605A4C"/>
    <w:rsid w:val="00645B8B"/>
    <w:rsid w:val="00655044"/>
    <w:rsid w:val="00666922"/>
    <w:rsid w:val="00670F17"/>
    <w:rsid w:val="006710C7"/>
    <w:rsid w:val="00696A83"/>
    <w:rsid w:val="006C580A"/>
    <w:rsid w:val="006D1E69"/>
    <w:rsid w:val="006D6F50"/>
    <w:rsid w:val="006F057C"/>
    <w:rsid w:val="006F22DA"/>
    <w:rsid w:val="006F2EB3"/>
    <w:rsid w:val="007116B1"/>
    <w:rsid w:val="00714BEE"/>
    <w:rsid w:val="00721215"/>
    <w:rsid w:val="007400CF"/>
    <w:rsid w:val="00757758"/>
    <w:rsid w:val="007A0409"/>
    <w:rsid w:val="007B23FC"/>
    <w:rsid w:val="007D0C1D"/>
    <w:rsid w:val="007D2000"/>
    <w:rsid w:val="007D4DBF"/>
    <w:rsid w:val="007E4732"/>
    <w:rsid w:val="007E4BA4"/>
    <w:rsid w:val="007F004E"/>
    <w:rsid w:val="007F335A"/>
    <w:rsid w:val="00803104"/>
    <w:rsid w:val="00812901"/>
    <w:rsid w:val="008254AC"/>
    <w:rsid w:val="00826B9A"/>
    <w:rsid w:val="008300C8"/>
    <w:rsid w:val="00836823"/>
    <w:rsid w:val="00842757"/>
    <w:rsid w:val="00843CC2"/>
    <w:rsid w:val="0085266D"/>
    <w:rsid w:val="008A5AA0"/>
    <w:rsid w:val="008E224D"/>
    <w:rsid w:val="0092530B"/>
    <w:rsid w:val="009341A6"/>
    <w:rsid w:val="0094208C"/>
    <w:rsid w:val="00942F17"/>
    <w:rsid w:val="00943236"/>
    <w:rsid w:val="00952CEF"/>
    <w:rsid w:val="00955421"/>
    <w:rsid w:val="00990E9C"/>
    <w:rsid w:val="00994542"/>
    <w:rsid w:val="00994908"/>
    <w:rsid w:val="009B160B"/>
    <w:rsid w:val="009C237B"/>
    <w:rsid w:val="009E5A93"/>
    <w:rsid w:val="009F3154"/>
    <w:rsid w:val="00A1211C"/>
    <w:rsid w:val="00A20113"/>
    <w:rsid w:val="00A20D78"/>
    <w:rsid w:val="00A2215F"/>
    <w:rsid w:val="00A22839"/>
    <w:rsid w:val="00A23E19"/>
    <w:rsid w:val="00A33185"/>
    <w:rsid w:val="00A53B04"/>
    <w:rsid w:val="00A661F4"/>
    <w:rsid w:val="00A66326"/>
    <w:rsid w:val="00A66E19"/>
    <w:rsid w:val="00A7271A"/>
    <w:rsid w:val="00A74D79"/>
    <w:rsid w:val="00A81E19"/>
    <w:rsid w:val="00A9723B"/>
    <w:rsid w:val="00AB795F"/>
    <w:rsid w:val="00AC6312"/>
    <w:rsid w:val="00AD1E77"/>
    <w:rsid w:val="00AD6D80"/>
    <w:rsid w:val="00B1160D"/>
    <w:rsid w:val="00B139FB"/>
    <w:rsid w:val="00B444E6"/>
    <w:rsid w:val="00B52011"/>
    <w:rsid w:val="00B53EFF"/>
    <w:rsid w:val="00B54AFA"/>
    <w:rsid w:val="00B671A4"/>
    <w:rsid w:val="00B804E8"/>
    <w:rsid w:val="00BC206C"/>
    <w:rsid w:val="00BC2943"/>
    <w:rsid w:val="00BC431A"/>
    <w:rsid w:val="00BF5AFA"/>
    <w:rsid w:val="00C01A35"/>
    <w:rsid w:val="00C03772"/>
    <w:rsid w:val="00C04EDA"/>
    <w:rsid w:val="00C119A2"/>
    <w:rsid w:val="00C53F1A"/>
    <w:rsid w:val="00C57267"/>
    <w:rsid w:val="00C616FF"/>
    <w:rsid w:val="00C62B63"/>
    <w:rsid w:val="00C72B5B"/>
    <w:rsid w:val="00C869F3"/>
    <w:rsid w:val="00CB38BD"/>
    <w:rsid w:val="00CC18AC"/>
    <w:rsid w:val="00CD7D5D"/>
    <w:rsid w:val="00CF0621"/>
    <w:rsid w:val="00CF0FC4"/>
    <w:rsid w:val="00CF6932"/>
    <w:rsid w:val="00D01FE3"/>
    <w:rsid w:val="00D0381E"/>
    <w:rsid w:val="00D06CA3"/>
    <w:rsid w:val="00D07F46"/>
    <w:rsid w:val="00D170E5"/>
    <w:rsid w:val="00D31A37"/>
    <w:rsid w:val="00D37F2F"/>
    <w:rsid w:val="00D415B9"/>
    <w:rsid w:val="00D436B2"/>
    <w:rsid w:val="00D528E8"/>
    <w:rsid w:val="00D771D0"/>
    <w:rsid w:val="00D835CF"/>
    <w:rsid w:val="00D8684C"/>
    <w:rsid w:val="00D96B79"/>
    <w:rsid w:val="00DA26FB"/>
    <w:rsid w:val="00DA36BE"/>
    <w:rsid w:val="00DB4DCC"/>
    <w:rsid w:val="00DB6C3D"/>
    <w:rsid w:val="00DC15D2"/>
    <w:rsid w:val="00DC5ACF"/>
    <w:rsid w:val="00DD3573"/>
    <w:rsid w:val="00DD7468"/>
    <w:rsid w:val="00DE25E9"/>
    <w:rsid w:val="00DE71D3"/>
    <w:rsid w:val="00DE72CF"/>
    <w:rsid w:val="00DF08A0"/>
    <w:rsid w:val="00E13BEF"/>
    <w:rsid w:val="00E27D16"/>
    <w:rsid w:val="00E70760"/>
    <w:rsid w:val="00E8618D"/>
    <w:rsid w:val="00E91AB5"/>
    <w:rsid w:val="00E9253C"/>
    <w:rsid w:val="00EB3CF0"/>
    <w:rsid w:val="00EB45B5"/>
    <w:rsid w:val="00EB5E57"/>
    <w:rsid w:val="00EB61DB"/>
    <w:rsid w:val="00ED1AD0"/>
    <w:rsid w:val="00ED4AFD"/>
    <w:rsid w:val="00ED6776"/>
    <w:rsid w:val="00EE4FBE"/>
    <w:rsid w:val="00EF3871"/>
    <w:rsid w:val="00F038A1"/>
    <w:rsid w:val="00F06E4E"/>
    <w:rsid w:val="00F14EE2"/>
    <w:rsid w:val="00F51E01"/>
    <w:rsid w:val="00F5649A"/>
    <w:rsid w:val="00F67DC5"/>
    <w:rsid w:val="00F82342"/>
    <w:rsid w:val="00F877DB"/>
    <w:rsid w:val="00F91AE4"/>
    <w:rsid w:val="00F93C8B"/>
    <w:rsid w:val="00F959DD"/>
    <w:rsid w:val="00F960D5"/>
    <w:rsid w:val="00FB1231"/>
    <w:rsid w:val="00FC1C5C"/>
    <w:rsid w:val="00FE17E2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8E8B24B"/>
  <w15:docId w15:val="{284D6209-673C-4A1B-A513-6F869D5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FAA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06E4E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qFormat/>
    <w:rsid w:val="00F06E4E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06E4E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33FAA"/>
    <w:pPr>
      <w:keepNext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3FAA"/>
    <w:pPr>
      <w:tabs>
        <w:tab w:val="center" w:pos="4153"/>
        <w:tab w:val="right" w:pos="8306"/>
      </w:tabs>
    </w:pPr>
    <w:rPr>
      <w:szCs w:val="24"/>
      <w:lang w:val="en-US"/>
    </w:rPr>
  </w:style>
  <w:style w:type="paragraph" w:customStyle="1" w:styleId="Infotext">
    <w:name w:val="Info text"/>
    <w:basedOn w:val="Normal"/>
    <w:rsid w:val="00333FAA"/>
    <w:rPr>
      <w:sz w:val="28"/>
    </w:rPr>
  </w:style>
  <w:style w:type="paragraph" w:styleId="Header">
    <w:name w:val="header"/>
    <w:basedOn w:val="Normal"/>
    <w:rsid w:val="00333FA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12901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333FAA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character" w:styleId="Strong">
    <w:name w:val="Strong"/>
    <w:uiPriority w:val="22"/>
    <w:qFormat/>
    <w:rsid w:val="00333FAA"/>
    <w:rPr>
      <w:b/>
      <w:bCs/>
    </w:rPr>
  </w:style>
  <w:style w:type="character" w:styleId="PageNumber">
    <w:name w:val="page number"/>
    <w:basedOn w:val="DefaultParagraphFont"/>
    <w:rsid w:val="00333FAA"/>
  </w:style>
  <w:style w:type="paragraph" w:styleId="BodyText">
    <w:name w:val="Body Text"/>
    <w:basedOn w:val="Normal"/>
    <w:rsid w:val="001C7E35"/>
    <w:rPr>
      <w:rFonts w:cs="Arial"/>
      <w:i/>
      <w:iCs/>
    </w:rPr>
  </w:style>
  <w:style w:type="character" w:styleId="FootnoteReference">
    <w:name w:val="footnote reference"/>
    <w:semiHidden/>
    <w:rsid w:val="001C7E35"/>
    <w:rPr>
      <w:vertAlign w:val="superscript"/>
    </w:rPr>
  </w:style>
  <w:style w:type="character" w:styleId="Hyperlink">
    <w:name w:val="Hyperlink"/>
    <w:rsid w:val="001C7E35"/>
    <w:rPr>
      <w:color w:val="0000FF"/>
      <w:u w:val="single"/>
    </w:rPr>
  </w:style>
  <w:style w:type="table" w:styleId="TableGrid">
    <w:name w:val="Table Grid"/>
    <w:basedOn w:val="TableNormal"/>
    <w:rsid w:val="001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locked/>
    <w:rsid w:val="008129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ormal2">
    <w:name w:val="Normal2"/>
    <w:rsid w:val="00812901"/>
    <w:rPr>
      <w:rFonts w:ascii="Arial" w:hAnsi="Arial"/>
      <w:sz w:val="22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DA26FB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70760"/>
    <w:pPr>
      <w:ind w:left="720"/>
    </w:pPr>
  </w:style>
  <w:style w:type="character" w:styleId="FollowedHyperlink">
    <w:name w:val="FollowedHyperlink"/>
    <w:rsid w:val="00C037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9F3"/>
    <w:rPr>
      <w:rFonts w:ascii="Tahoma" w:hAnsi="Tahoma" w:cs="Tahoma"/>
      <w:sz w:val="16"/>
      <w:szCs w:val="16"/>
      <w:lang w:eastAsia="en-US"/>
    </w:rPr>
  </w:style>
  <w:style w:type="table" w:customStyle="1" w:styleId="Style1">
    <w:name w:val="Style1"/>
    <w:basedOn w:val="TableNormal"/>
    <w:uiPriority w:val="99"/>
    <w:rsid w:val="00EB3CF0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261D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14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4A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4A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4A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27D1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oderngov.harrow.gov.uk/ieListDocuments.aspx?CId=1092&amp;MId=65647&amp;Ver=4&amp;Info=1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ikoleta.Kemp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0226E4B75CFA47B488D2CEFE4DCFDD64AD000E958395C031BE4FA4DC05F79AD9F162" ma:contentTypeVersion="3" ma:contentTypeDescription="" ma:contentTypeScope="" ma:versionID="b37d938a025ddfbcad3fa610eee83888">
  <xsd:schema xmlns:xsd="http://www.w3.org/2001/XMLSchema" xmlns:xs="http://www.w3.org/2001/XMLSchema" xmlns:p="http://schemas.microsoft.com/office/2006/metadata/properties" xmlns:ns2="e48e9339-ef40-4192-ab59-a15ba5582753" xmlns:ns3="54c1341a-f0b2-450a-9883-97eea039321e" targetNamespace="http://schemas.microsoft.com/office/2006/metadata/properties" ma:root="true" ma:fieldsID="69e3f18c2ad4e07f43c91f3b0413280f" ns2:_="" ns3:_="">
    <xsd:import namespace="e48e9339-ef40-4192-ab59-a15ba5582753"/>
    <xsd:import namespace="54c1341a-f0b2-450a-9883-97eea039321e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D06E179-CA71-4EEB-B676-D63345673D3B}" ma:internalName="TaxCatchAll" ma:showField="CatchAllData" ma:web="{54c1341a-f0b2-450a-9883-97eea039321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D06E179-CA71-4EEB-B676-D63345673D3B}" ma:internalName="TaxCatchAllLabel" ma:readOnly="true" ma:showField="CatchAllDataLabel" ma:web="{54c1341a-f0b2-450a-9883-97eea039321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1341a-f0b2-450a-9883-97eea039321e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14" ma:displayName="Template Type" ma:format="Dropdown" ma:internalName="Template_x0020_Type">
      <xsd:simpleType>
        <xsd:restriction base="dms:Choice">
          <xsd:enumeration value="Admissions Appeals Training"/>
          <xsd:enumeration value="Call In"/>
          <xsd:enumeration value="Deputation"/>
          <xsd:enumeration value="Independent Review Training"/>
          <xsd:enumeration value="Letterheads"/>
          <xsd:enumeration value="Non-Exec"/>
          <xsd:enumeration value="Petitions"/>
          <xsd:enumeration value="PHD"/>
          <xsd:enumeration value="Repo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>
      <Value>108</Value>
    </TaxCatchAll>
    <TaxKeywordTaxHTField xmlns="e48e9339-ef40-4192-ab59-a15ba55827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 Report Template</TermName>
          <TermId xmlns="http://schemas.microsoft.com/office/infopath/2007/PartnerControls">00000000-0000-0000-0000-000000000000</TermId>
        </TermInfo>
      </Terms>
    </TaxKeywordTaxHTField>
    <HarrowProtectiveMarking xmlns="e48e9339-ef40-4192-ab59-a15ba5582753">OFFICIAL</HarrowProtectiveMarking>
    <HarrowDescription xmlns="e48e9339-ef40-4192-ab59-a15ba5582753" xsi:nil="true"/>
    <Template_x0020_Type xmlns="54c1341a-f0b2-450a-9883-97eea039321e">Reports</Template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b11bda97-64e7-4000-91fd-dcaad77bf85d" ContentTypeId="0x0101000226E4B75CFA47B488D2CEFE4DCFDD64AD" PreviousValue="false"/>
</file>

<file path=customXml/itemProps1.xml><?xml version="1.0" encoding="utf-8"?>
<ds:datastoreItem xmlns:ds="http://schemas.openxmlformats.org/officeDocument/2006/customXml" ds:itemID="{C5959DAF-AFC1-4AF8-8D05-7FB71C94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54c1341a-f0b2-450a-9883-97eea0393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2F9BB-549D-4B8D-8BC1-045480EE8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1B39E-4BD6-4D34-B83E-79D5CD4DA147}">
  <ds:schemaRefs>
    <ds:schemaRef ds:uri="e48e9339-ef40-4192-ab59-a15ba5582753"/>
    <ds:schemaRef ds:uri="http://schemas.openxmlformats.org/package/2006/metadata/core-properties"/>
    <ds:schemaRef ds:uri="http://purl.org/dc/terms/"/>
    <ds:schemaRef ds:uri="54c1341a-f0b2-450a-9883-97eea039321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642009-1DAA-4CD4-ACA7-9D43255636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2EEBA5-2D35-4C07-AF7F-79817A1E9C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57FBA5-F6EB-4B7D-81F3-0D8490A901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Report Template March 2018</vt:lpstr>
    </vt:vector>
  </TitlesOfParts>
  <Company>Harrow Council</Company>
  <LinksUpToDate>false</LinksUpToDate>
  <CharactersWithSpaces>2578</CharactersWithSpaces>
  <SharedDoc>false</SharedDoc>
  <HLinks>
    <vt:vector size="30" baseType="variant">
      <vt:variant>
        <vt:i4>3211339</vt:i4>
      </vt:variant>
      <vt:variant>
        <vt:i4>12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Report Template March 2018</dc:title>
  <dc:creator>DGhelani</dc:creator>
  <cp:keywords>Cabinet Report Template</cp:keywords>
  <cp:lastModifiedBy>Donna Harris</cp:lastModifiedBy>
  <cp:revision>5</cp:revision>
  <cp:lastPrinted>2014-10-31T16:34:00Z</cp:lastPrinted>
  <dcterms:created xsi:type="dcterms:W3CDTF">2023-05-12T08:45:00Z</dcterms:created>
  <dcterms:modified xsi:type="dcterms:W3CDTF">2023-05-22T12:52:00Z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0x0101000226E4B75CFA47B488D2CEFE4DCFDD64AD000E958395C031BE4FA4DC05F79AD9F162</vt:lpwstr>
  </property>
  <property fmtid="{D5CDD505-2E9C-101B-9397-08002B2CF9AE}" pid="3" name="TaxKeyword">
    <vt:lpwstr>108;#Cabinet Report Template|b79b58f4-03f4-47dd-bec7-7bae4bc4af23</vt:lpwstr>
  </property>
</Properties>
</file>